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Words for typography portrait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Easter eggs: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She was a fantastic swimmer; the way a bowling ball wouldn’t be.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attention span of a coconut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Live, laugh, love.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Constructions worker hate him</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The Things They Carried by Tim O’Brien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“Inside the body, or beyond the body, there is something absolute and unchanging.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In a story, miracles can happen.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"Once you're alive," she'd say, "you can't ever be dead."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I realize it is as Tim trying to save Timmy's life with a story.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There was no happy way out.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to guide me across the river and to take me to the edge and to stand a kind of vigil as I chose a life for myself.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I would go to the war—I would kill and maybe die—because I was embarrassed not to.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A true war story is never moral.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If a story seems moral, do not believe it.”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Georgia" w:cs="Georgia" w:eastAsia="Georgia" w:hAnsi="Georgia"/>
          <w:sz w:val="24"/>
          <w:szCs w:val="24"/>
          <w:rtl w:val="0"/>
        </w:rPr>
        <w:t xml:space="preserve">Personal commentary: Real stories will force you to make a sacrifice of something inside yourself.</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“What seems to happen becomes its own happening and has to be told that way.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The truths are contradictory.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To generalize about war is like generalizing about peace. Almost everything is true. Almost nothing is true.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There is no clarity. Everything swirls.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You can tell a true war story if you just keep on telling it.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the act of writing had led me through a swirl of memories that might otherwise have ended in paralysis or worse.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By telling stories, you objectify your own experience. You separate it from yourself.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you carry it forward by inventing incidents that did not in fact occur but that nonetheless help to clarify and explain.”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4"/>
          <w:szCs w:val="24"/>
          <w:rtl w:val="0"/>
        </w:rPr>
        <w:t xml:space="preserve">I choose these short quotes from </w:t>
      </w:r>
      <w:r w:rsidDel="00000000" w:rsidR="00000000" w:rsidRPr="00000000">
        <w:rPr>
          <w:rFonts w:ascii="Georgia" w:cs="Georgia" w:eastAsia="Georgia" w:hAnsi="Georgia"/>
          <w:i w:val="1"/>
          <w:sz w:val="24"/>
          <w:szCs w:val="24"/>
          <w:rtl w:val="0"/>
        </w:rPr>
        <w:t xml:space="preserve">The Things They Carried </w:t>
      </w:r>
      <w:r w:rsidDel="00000000" w:rsidR="00000000" w:rsidRPr="00000000">
        <w:rPr>
          <w:rFonts w:ascii="Georgia" w:cs="Georgia" w:eastAsia="Georgia" w:hAnsi="Georgia"/>
          <w:sz w:val="24"/>
          <w:szCs w:val="24"/>
          <w:rtl w:val="0"/>
        </w:rPr>
        <w:t xml:space="preserve">by Tim O’Brien because of the way he highlights the value of telling stories. O’Brien explains that while some of his stories may not be true, that’s not important. What is important is that the feelings of the story are portrayed in the way they are; that while the story isn’t true, the emotion behind the story is. While I may have no intentions of joining the military, the Vietnam war is an amazing place to explore what stories and art can do, and I respect veterans immensely and appreciate the impact their experiences have on our daily lives.  Throughout the novel, O’Brien explains this message in chunks, and in many short stories. My favorite of these is a story about someone returning home for the war, and finding no purpose in his life afterwards, and also struggles sharing his experiences through stories. He keeps playing through a conversation he might want to have with someone about his experiences, but never actually tells anyone. While the commentary O’Brien makes about stories is mostly war based, certain aspects of what he discusses is applicable to everyone; like “If a story seems moral, do not believe it.” I decided to implement O’Briens words into my portrait because it explains very well the importance of art, and the importance of what expressing emotions through art really does.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